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F5D3897" w14:paraId="5C1A07E2" wp14:textId="3052BC51">
      <w:pPr>
        <w:pStyle w:val="Normal"/>
      </w:pPr>
      <w:bookmarkStart w:name="_GoBack" w:id="0"/>
      <w:bookmarkEnd w:id="0"/>
      <w:r w:rsidR="07F42052">
        <w:rPr/>
        <w:t xml:space="preserve">                                              </w:t>
      </w:r>
      <w:r>
        <w:drawing>
          <wp:inline xmlns:wp14="http://schemas.microsoft.com/office/word/2010/wordprocessingDrawing" wp14:editId="07F42052" wp14:anchorId="1931A9A0">
            <wp:extent cx="3600450" cy="1019175"/>
            <wp:effectExtent l="0" t="0" r="0" b="0"/>
            <wp:docPr id="361536400" name="" title=""/>
            <wp:cNvGraphicFramePr>
              <a:graphicFrameLocks noChangeAspect="1"/>
            </wp:cNvGraphicFramePr>
            <a:graphic>
              <a:graphicData uri="http://schemas.openxmlformats.org/drawingml/2006/picture">
                <pic:pic>
                  <pic:nvPicPr>
                    <pic:cNvPr id="0" name=""/>
                    <pic:cNvPicPr/>
                  </pic:nvPicPr>
                  <pic:blipFill>
                    <a:blip r:embed="R70cdb3df9c464e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00450" cy="1019175"/>
                    </a:xfrm>
                    <a:prstGeom prst="rect">
                      <a:avLst/>
                    </a:prstGeom>
                  </pic:spPr>
                </pic:pic>
              </a:graphicData>
            </a:graphic>
          </wp:inline>
        </w:drawing>
      </w:r>
    </w:p>
    <w:p w:rsidR="6F5D3897" w:rsidP="6F5D3897" w:rsidRDefault="6F5D3897" w14:paraId="237114F0" w14:textId="25984F50">
      <w:pPr>
        <w:pStyle w:val="Normal"/>
      </w:pPr>
    </w:p>
    <w:p w:rsidR="6F5D3897" w:rsidP="6F5D3897" w:rsidRDefault="6F5D3897" w14:paraId="02666515" w14:textId="5696DE3D">
      <w:pPr>
        <w:pStyle w:val="Normal"/>
      </w:pPr>
      <w:r w:rsidRPr="6F5D3897" w:rsidR="6F5D3897">
        <w:rPr>
          <w:rFonts w:ascii="Arial Black" w:hAnsi="Arial Black" w:eastAsia="Arial Black" w:cs="Arial Black"/>
        </w:rPr>
        <w:t>PROFESORADO DEL NIVEL INICIAL: EDUCACION TEMPRANA</w:t>
      </w:r>
    </w:p>
    <w:p w:rsidR="6F5D3897" w:rsidP="5B0E99EA" w:rsidRDefault="6F5D3897" w14:paraId="3EE673E4" w14:textId="7F039034">
      <w:pPr>
        <w:spacing w:after="200" w:line="276" w:lineRule="auto"/>
        <w:rPr>
          <w:rFonts w:ascii="Calibri" w:hAnsi="Calibri" w:eastAsia="Calibri" w:cs="Calibri"/>
          <w:b w:val="1"/>
          <w:bCs w:val="1"/>
          <w:i w:val="1"/>
          <w:iCs w:val="1"/>
          <w:noProof w:val="0"/>
          <w:color w:val="000000" w:themeColor="text1" w:themeTint="FF" w:themeShade="FF"/>
          <w:sz w:val="24"/>
          <w:szCs w:val="24"/>
          <w:lang w:val="es-AR"/>
        </w:rPr>
      </w:pPr>
    </w:p>
    <w:p w:rsidR="5B0E99EA" w:rsidRDefault="5B0E99EA" w14:paraId="6BC92CD2" w14:textId="6D612BD8">
      <w:r w:rsidRPr="5B0E99EA" w:rsidR="5B0E99EA">
        <w:rPr>
          <w:rFonts w:ascii="Arial" w:hAnsi="Arial" w:eastAsia="Arial" w:cs="Arial"/>
          <w:b w:val="1"/>
          <w:bCs w:val="1"/>
          <w:noProof w:val="0"/>
          <w:sz w:val="24"/>
          <w:szCs w:val="24"/>
          <w:lang w:val="es-AR"/>
        </w:rPr>
        <w:t xml:space="preserve">Curso: 1°A/1°B  </w:t>
      </w:r>
    </w:p>
    <w:p w:rsidR="5B0E99EA" w:rsidRDefault="5B0E99EA" w14:paraId="7C3A22C9" w14:textId="1B728391">
      <w:r w:rsidRPr="5B0E99EA" w:rsidR="5B0E99EA">
        <w:rPr>
          <w:rFonts w:ascii="Arial" w:hAnsi="Arial" w:eastAsia="Arial" w:cs="Arial"/>
          <w:b w:val="1"/>
          <w:bCs w:val="1"/>
          <w:noProof w:val="0"/>
          <w:sz w:val="24"/>
          <w:szCs w:val="24"/>
          <w:lang w:val="es-AR"/>
        </w:rPr>
        <w:t>Asignatura: EDUCACION TEMPRANA</w:t>
      </w:r>
    </w:p>
    <w:p w:rsidR="5B0E99EA" w:rsidRDefault="5B0E99EA" w14:paraId="0AC82563" w14:textId="59DA8847">
      <w:r w:rsidRPr="5B0E99EA" w:rsidR="5B0E99EA">
        <w:rPr>
          <w:rFonts w:ascii="Arial" w:hAnsi="Arial" w:eastAsia="Arial" w:cs="Arial"/>
          <w:b w:val="1"/>
          <w:bCs w:val="1"/>
          <w:noProof w:val="0"/>
          <w:sz w:val="24"/>
          <w:szCs w:val="24"/>
          <w:lang w:val="es-AR"/>
        </w:rPr>
        <w:t xml:space="preserve">Docente: </w:t>
      </w:r>
      <w:proofErr w:type="spellStart"/>
      <w:r w:rsidRPr="5B0E99EA" w:rsidR="5B0E99EA">
        <w:rPr>
          <w:rFonts w:ascii="Arial" w:hAnsi="Arial" w:eastAsia="Arial" w:cs="Arial"/>
          <w:b w:val="1"/>
          <w:bCs w:val="1"/>
          <w:noProof w:val="0"/>
          <w:sz w:val="24"/>
          <w:szCs w:val="24"/>
          <w:lang w:val="es-AR"/>
        </w:rPr>
        <w:t>Elisabet</w:t>
      </w:r>
      <w:proofErr w:type="spellEnd"/>
      <w:r w:rsidRPr="5B0E99EA" w:rsidR="5B0E99EA">
        <w:rPr>
          <w:rFonts w:ascii="Arial" w:hAnsi="Arial" w:eastAsia="Arial" w:cs="Arial"/>
          <w:b w:val="1"/>
          <w:bCs w:val="1"/>
          <w:noProof w:val="0"/>
          <w:sz w:val="24"/>
          <w:szCs w:val="24"/>
          <w:lang w:val="es-AR"/>
        </w:rPr>
        <w:t xml:space="preserve"> Esposito</w:t>
      </w:r>
    </w:p>
    <w:p w:rsidR="5B0E99EA" w:rsidRDefault="5B0E99EA" w14:paraId="68F848E0" w14:textId="275AF46E">
      <w:r w:rsidRPr="5B0E99EA" w:rsidR="5B0E99EA">
        <w:rPr>
          <w:rFonts w:ascii="Arial" w:hAnsi="Arial" w:eastAsia="Arial" w:cs="Arial"/>
          <w:b w:val="1"/>
          <w:bCs w:val="1"/>
          <w:noProof w:val="0"/>
          <w:sz w:val="24"/>
          <w:szCs w:val="24"/>
          <w:lang w:val="es-AR"/>
        </w:rPr>
        <w:t>Año: 2021</w:t>
      </w:r>
    </w:p>
    <w:p w:rsidR="5B0E99EA" w:rsidP="5B0E99EA" w:rsidRDefault="5B0E99EA" w14:paraId="2B69C9C4" w14:textId="6A28444F">
      <w:pPr>
        <w:pStyle w:val="Normal"/>
        <w:spacing w:after="200" w:line="276" w:lineRule="auto"/>
        <w:rPr>
          <w:rFonts w:ascii="Calibri" w:hAnsi="Calibri" w:eastAsia="Calibri" w:cs="Calibri"/>
          <w:b w:val="1"/>
          <w:bCs w:val="1"/>
          <w:i w:val="1"/>
          <w:iCs w:val="1"/>
          <w:noProof w:val="0"/>
          <w:color w:val="000000" w:themeColor="text1" w:themeTint="FF" w:themeShade="FF"/>
          <w:sz w:val="24"/>
          <w:szCs w:val="24"/>
          <w:lang w:val="es-AR"/>
        </w:rPr>
      </w:pPr>
    </w:p>
    <w:p w:rsidR="5B0E99EA" w:rsidP="5B0E99EA" w:rsidRDefault="5B0E99EA" w14:paraId="51B8C005" w14:textId="764EF745">
      <w:pPr>
        <w:pStyle w:val="Normal"/>
        <w:spacing w:after="200" w:line="276" w:lineRule="auto"/>
        <w:rPr>
          <w:rFonts w:ascii="Calibri" w:hAnsi="Calibri" w:eastAsia="Calibri" w:cs="Calibri"/>
          <w:b w:val="1"/>
          <w:bCs w:val="1"/>
          <w:i w:val="1"/>
          <w:iCs w:val="1"/>
          <w:noProof w:val="0"/>
          <w:color w:val="000000" w:themeColor="text1" w:themeTint="FF" w:themeShade="FF"/>
          <w:sz w:val="24"/>
          <w:szCs w:val="24"/>
          <w:lang w:val="es-AR"/>
        </w:rPr>
      </w:pPr>
    </w:p>
    <w:p w:rsidR="5B0E99EA" w:rsidP="5B0E99EA" w:rsidRDefault="5B0E99EA" w14:paraId="4C998661" w14:textId="0AB116F8">
      <w:pPr>
        <w:pStyle w:val="Normal"/>
        <w:spacing w:after="200" w:line="276" w:lineRule="auto"/>
        <w:rPr>
          <w:rFonts w:ascii="Calibri" w:hAnsi="Calibri" w:eastAsia="Calibri" w:cs="Calibri"/>
          <w:b w:val="1"/>
          <w:bCs w:val="1"/>
          <w:i w:val="1"/>
          <w:iCs w:val="1"/>
          <w:noProof w:val="0"/>
          <w:color w:val="000000" w:themeColor="text1" w:themeTint="FF" w:themeShade="FF"/>
          <w:sz w:val="24"/>
          <w:szCs w:val="24"/>
          <w:lang w:val="es-AR"/>
        </w:rPr>
      </w:pPr>
      <w:r w:rsidRPr="5B0E99EA" w:rsidR="5B0E99EA">
        <w:rPr>
          <w:rFonts w:ascii="Calibri" w:hAnsi="Calibri" w:eastAsia="Calibri" w:cs="Calibri"/>
          <w:b w:val="1"/>
          <w:bCs w:val="1"/>
          <w:i w:val="1"/>
          <w:iCs w:val="1"/>
          <w:noProof w:val="0"/>
          <w:color w:val="000000" w:themeColor="text1" w:themeTint="FF" w:themeShade="FF"/>
          <w:sz w:val="24"/>
          <w:szCs w:val="24"/>
          <w:lang w:val="es-AR"/>
        </w:rPr>
        <w:t>Proyecto de Educación Temprana</w:t>
      </w:r>
    </w:p>
    <w:p w:rsidR="6F5D3897" w:rsidP="6F5D3897" w:rsidRDefault="6F5D3897" w14:paraId="351F527B" w14:textId="477290C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La Educación Temprana como parte del diseño curricular en la formación del docente del Nivel Inicial, constituye en uno de los pilares que sustentan su labor. Debido a que se hace imperioso el conocimiento integral del niño desde un sustento tanto teórico como practico, a partir de su concepción en el imaginario familiar, sus aspectos constitucionales neurológicas que incidirán en la evolución psicomotriz, así como en su desarrollo cognitivo y el armado subjetivo en el entramado familiar y social desde sus primeros tiempos de vida. Estos cobran una importancia insoslayable en el desarrollo de la niñez. Lo que ofrecerá las herramientas necesarias para afrontar los nuevos retos que nos presenta la sociedad hoy respecto de las nuevas generaciones.</w:t>
      </w:r>
    </w:p>
    <w:p w:rsidR="6F5D3897" w:rsidP="6F5D3897" w:rsidRDefault="6F5D3897" w14:paraId="1730E7F7" w14:textId="1EC6EED2">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Este encuentro del docente del nivel inicial con un bebe o un niño ya sea en jardín maternal o desde sala de tres años, es un encuentro con el que el niño enfrenta la primera relación exogámica hacia la sociedad. Su universo comienza a expandirse, y el docente acompañara ese proceso involucrando nuevos instrumentos de apropiación de la realidad. Por lo cual el estímulo alejado de su concepción reduccionista favorecerá dicha apropiación de la realidad, medio esencial para incentivar los nuevos aprendizajes del niño como sujeto singular e inserto en una familia, mirada que no puede dejar de ser el norte para la intervención del docente dentro de otra institución más allá de la familia.  </w:t>
      </w:r>
    </w:p>
    <w:p w:rsidR="6F5D3897" w:rsidP="6F5D3897" w:rsidRDefault="6F5D3897" w14:paraId="41D68A5F" w14:textId="562D79FB">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Hay una necesidad de favorecer la construcción de infancias que tengan la posibilidad de comprender la realidad social traducida en comportamientos sociales, aprehender los objetos que lo rodean y participar activamente. Para lo cual es necesario la presencia del adulto responsable, tanto la familia como institución primera, como el docente comprometido con las acciones de educar a los niños desde su primera infancia, este compromiso supone el tan mentado “preparar para la vida” para ser parte de una sociedad. Sabemos que en los contextos actuales ha habido una transformación de las relaciones familiares, también se reconocen hoy nuevos derechos a la infancia que protegen su crecimiento integral. </w:t>
      </w:r>
    </w:p>
    <w:p w:rsidR="6F5D3897" w:rsidP="07F42052" w:rsidRDefault="6F5D3897" w14:paraId="4E95097C" w14:textId="51F55747">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Desde una mirada global el marco teórico nos muestra el camino para la intervención. De manera que en el momento de pensar la enseñanza es necesario considerar las historias particulares de la familia, donde aparece lo que de humano nos caracteriza, lo singular del niño y el contexto social en el que está enmarcado. Desde allí poder pensar al niño de manera integral, permitirá brindar los instrumentos necesarios para el encuentro con el mundo. Herramientas que en sus inicios ya pondrán el acento en el </w:t>
      </w:r>
      <w:r w:rsidRPr="07F42052" w:rsidR="07F42052">
        <w:rPr>
          <w:rFonts w:ascii="Calibri" w:hAnsi="Calibri" w:eastAsia="Calibri" w:cs="Calibri"/>
          <w:b w:val="0"/>
          <w:bCs w:val="0"/>
          <w:i w:val="0"/>
          <w:iCs w:val="0"/>
          <w:noProof w:val="0"/>
          <w:color w:val="000000" w:themeColor="text1" w:themeTint="FF" w:themeShade="FF"/>
          <w:sz w:val="24"/>
          <w:szCs w:val="24"/>
          <w:lang w:val="es-AR"/>
        </w:rPr>
        <w:t>dialogo tónico</w:t>
      </w: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 en favorecer </w:t>
      </w: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el apego </w:t>
      </w:r>
      <w:r w:rsidRPr="07F42052" w:rsidR="07F42052">
        <w:rPr>
          <w:rFonts w:ascii="Calibri" w:hAnsi="Calibri" w:eastAsia="Calibri" w:cs="Calibri"/>
          <w:b w:val="0"/>
          <w:bCs w:val="0"/>
          <w:i w:val="0"/>
          <w:iCs w:val="0"/>
          <w:noProof w:val="0"/>
          <w:color w:val="000000" w:themeColor="text1" w:themeTint="FF" w:themeShade="FF"/>
          <w:sz w:val="24"/>
          <w:szCs w:val="24"/>
          <w:lang w:val="es-AR"/>
        </w:rPr>
        <w:t>como bases que sientan las futuras relaciones del niño con el universo de los objetos y con el otro. Lo que nos muestra que el niño nace inserto en el</w:t>
      </w:r>
      <w:r w:rsidRPr="07F42052" w:rsidR="07F42052">
        <w:rPr>
          <w:rFonts w:ascii="Calibri" w:hAnsi="Calibri" w:eastAsia="Calibri" w:cs="Calibri"/>
          <w:b w:val="1"/>
          <w:bCs w:val="1"/>
          <w:i w:val="0"/>
          <w:iCs w:val="0"/>
          <w:noProof w:val="0"/>
          <w:color w:val="000000" w:themeColor="text1" w:themeTint="FF" w:themeShade="FF"/>
          <w:sz w:val="24"/>
          <w:szCs w:val="24"/>
          <w:lang w:val="es-AR"/>
        </w:rPr>
        <w:t xml:space="preserve"> </w:t>
      </w:r>
      <w:r w:rsidRPr="07F42052" w:rsidR="07F42052">
        <w:rPr>
          <w:rFonts w:ascii="Calibri" w:hAnsi="Calibri" w:eastAsia="Calibri" w:cs="Calibri"/>
          <w:b w:val="0"/>
          <w:bCs w:val="0"/>
          <w:i w:val="0"/>
          <w:iCs w:val="0"/>
          <w:noProof w:val="0"/>
          <w:color w:val="000000" w:themeColor="text1" w:themeTint="FF" w:themeShade="FF"/>
          <w:sz w:val="24"/>
          <w:szCs w:val="24"/>
          <w:lang w:val="es-AR"/>
        </w:rPr>
        <w:t>lenguaje</w:t>
      </w: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 ya desde los deseos de los padres, luego durante su primera infancia este lenguaje ira bordeando los vericuetos que permiten al niño constituirse como sujeto, lo que a su vez fomentará su relación con el entorno con los objetos, lo que devendrá en el transcurso durante su primera infancia en </w:t>
      </w:r>
      <w:r w:rsidRPr="07F42052" w:rsidR="07F42052">
        <w:rPr>
          <w:rFonts w:ascii="Calibri" w:hAnsi="Calibri" w:eastAsia="Calibri" w:cs="Calibri"/>
          <w:b w:val="0"/>
          <w:bCs w:val="0"/>
          <w:i w:val="0"/>
          <w:iCs w:val="0"/>
          <w:noProof w:val="0"/>
          <w:color w:val="000000" w:themeColor="text1" w:themeTint="FF" w:themeShade="FF"/>
          <w:sz w:val="24"/>
          <w:szCs w:val="24"/>
          <w:lang w:val="es-AR"/>
        </w:rPr>
        <w:t>juego</w:t>
      </w: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 como modo de relacionarse con el mundo, el jugar como función de construir su universo de relaciones. </w:t>
      </w:r>
    </w:p>
    <w:p w:rsidR="6F5D3897" w:rsidP="6F5D3897" w:rsidRDefault="6F5D3897" w14:paraId="6BCA42A2" w14:textId="0F037980">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Dirá al respecto </w:t>
      </w:r>
      <w:proofErr w:type="spellStart"/>
      <w:r w:rsidRPr="6F5D3897" w:rsidR="6F5D3897">
        <w:rPr>
          <w:rFonts w:ascii="Calibri" w:hAnsi="Calibri" w:eastAsia="Calibri" w:cs="Calibri"/>
          <w:b w:val="0"/>
          <w:bCs w:val="0"/>
          <w:i w:val="0"/>
          <w:iCs w:val="0"/>
          <w:noProof w:val="0"/>
          <w:color w:val="000000" w:themeColor="text1" w:themeTint="FF" w:themeShade="FF"/>
          <w:sz w:val="24"/>
          <w:szCs w:val="24"/>
          <w:lang w:val="es-AR"/>
        </w:rPr>
        <w:t>Baraldi</w:t>
      </w:r>
      <w:proofErr w:type="spellEnd"/>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 Clemencia “El jugar lejos de constituir una acción espontanea, es el efecto de un trabajo que el infante realiza…” ficción que permitirá su desarrollo y que se verá desplegado en este momento de su vida con mayor preponderancia. De este modo el jardín y en un primer tiempo el jardín maternal </w:t>
      </w:r>
      <w:r w:rsidRPr="6F5D3897" w:rsidR="6F5D3897">
        <w:rPr>
          <w:rFonts w:ascii="Calibri" w:hAnsi="Calibri" w:eastAsia="Calibri" w:cs="Calibri"/>
          <w:b w:val="0"/>
          <w:bCs w:val="0"/>
          <w:i w:val="0"/>
          <w:iCs w:val="0"/>
          <w:noProof w:val="0"/>
          <w:color w:val="000000" w:themeColor="text1" w:themeTint="FF" w:themeShade="FF"/>
          <w:sz w:val="24"/>
          <w:szCs w:val="24"/>
          <w:lang w:val="es-AR"/>
        </w:rPr>
        <w:t>acompañará</w:t>
      </w: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 en ese armado del infante que le permitirá luego simbolizar la realidad organizándolo. </w:t>
      </w:r>
    </w:p>
    <w:p w:rsidR="6F5D3897" w:rsidP="6F5D3897" w:rsidRDefault="6F5D3897" w14:paraId="0DC02C30" w14:textId="461B50C2">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4D8E51A4" w14:textId="22D7D386">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 xml:space="preserve">Objetivos: </w:t>
      </w:r>
    </w:p>
    <w:p w:rsidR="6F5D3897" w:rsidP="6F5D3897" w:rsidRDefault="6F5D3897" w14:paraId="0CA9226F" w14:textId="5AB9763D">
      <w:pPr>
        <w:pStyle w:val="ListParagraph"/>
        <w:numPr>
          <w:ilvl w:val="0"/>
          <w:numId w:val="1"/>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Establecer diferencias en las conceptualizaciones de lo que es la Atención Temprana y lo que incumbe a la Estimulación Temprana</w:t>
      </w:r>
    </w:p>
    <w:p w:rsidR="6F5D3897" w:rsidP="6F5D3897" w:rsidRDefault="6F5D3897" w14:paraId="3C80E66C" w14:textId="41C08717">
      <w:pPr>
        <w:pStyle w:val="ListParagraph"/>
        <w:numPr>
          <w:ilvl w:val="0"/>
          <w:numId w:val="1"/>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Conocer las pautas de maduración neurológica en el primer año de vida, y su incidencia en el desarrollo cognitivo, así como su constitución psíquica</w:t>
      </w:r>
    </w:p>
    <w:p w:rsidR="6F5D3897" w:rsidP="6F5D3897" w:rsidRDefault="6F5D3897" w14:paraId="56FC0565" w14:textId="393FC5BA">
      <w:pPr>
        <w:pStyle w:val="ListParagraph"/>
        <w:numPr>
          <w:ilvl w:val="0"/>
          <w:numId w:val="1"/>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Posibilitar experiencias de observación de infantes en su primer año de vida, en jardines maternales a fin de ver la aplicabilidad de lo aprendido en la realidad de los jardines maternales.</w:t>
      </w:r>
    </w:p>
    <w:p w:rsidR="6F5D3897" w:rsidP="5B0E99EA" w:rsidRDefault="6F5D3897" w14:paraId="58919916" w14:textId="350A84AE">
      <w:pPr>
        <w:pStyle w:val="ListParagraph"/>
        <w:numPr>
          <w:ilvl w:val="0"/>
          <w:numId w:val="1"/>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Generar espacios de reflexión donde se confrontarán los diversos referentes teóricos del conductismo respecto a la concepción de aprendizaje.</w:t>
      </w:r>
    </w:p>
    <w:p w:rsidR="6F5D3897" w:rsidP="6F5D3897" w:rsidRDefault="6F5D3897" w14:paraId="696B59BA" w14:textId="346CD74E">
      <w:pPr>
        <w:pStyle w:val="ListParagraph"/>
        <w:numPr>
          <w:ilvl w:val="0"/>
          <w:numId w:val="1"/>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Promover el análisis de la de una posición docente frente a la diversidad respecto a las distintas capacidades y las diferentes culturas, teniendo en cuenta las leyes que sustentan los derechos del niño</w:t>
      </w:r>
    </w:p>
    <w:p w:rsidR="6F5D3897" w:rsidP="6F5D3897" w:rsidRDefault="6F5D3897" w14:paraId="236DEA2F" w14:textId="5D359377">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Condiciones para la aprobación de la cursada</w:t>
      </w:r>
    </w:p>
    <w:p w:rsidR="6F5D3897" w:rsidP="5B0E99EA" w:rsidRDefault="6F5D3897" w14:paraId="4C060B81" w14:textId="49D96F6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La materia será aprobada con una instancia de evaluación final, si previamente a cumplido con la condición de haber aprobado el informe de observaciones y dos parciales.</w:t>
      </w:r>
    </w:p>
    <w:p w:rsidR="5B0E99EA" w:rsidP="5B0E99EA" w:rsidRDefault="5B0E99EA" w14:paraId="038A59CB" w14:textId="1A816E3C">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p>
    <w:p w:rsidR="5B0E99EA" w:rsidP="5B0E99EA" w:rsidRDefault="5B0E99EA" w14:paraId="72D84102" w14:textId="2779923D">
      <w:pPr>
        <w:spacing w:after="200" w:line="276" w:lineRule="auto"/>
        <w:rPr>
          <w:rFonts w:ascii="Calibri" w:hAnsi="Calibri" w:eastAsia="Calibri" w:cs="Calibri"/>
          <w:b w:val="1"/>
          <w:bCs w:val="1"/>
          <w:i w:val="1"/>
          <w:iCs w:val="1"/>
          <w:noProof w:val="0"/>
          <w:color w:val="000000" w:themeColor="text1" w:themeTint="FF" w:themeShade="FF"/>
          <w:sz w:val="24"/>
          <w:szCs w:val="24"/>
          <w:lang w:val="es-AR"/>
        </w:rPr>
      </w:pPr>
      <w:r w:rsidRPr="5B0E99EA" w:rsidR="5B0E99EA">
        <w:rPr>
          <w:rFonts w:ascii="Calibri" w:hAnsi="Calibri" w:eastAsia="Calibri" w:cs="Calibri"/>
          <w:b w:val="1"/>
          <w:bCs w:val="1"/>
          <w:i w:val="1"/>
          <w:iCs w:val="1"/>
          <w:noProof w:val="0"/>
          <w:color w:val="000000" w:themeColor="text1" w:themeTint="FF" w:themeShade="FF"/>
          <w:sz w:val="24"/>
          <w:szCs w:val="24"/>
          <w:lang w:val="es-AR"/>
        </w:rPr>
        <w:t>Criterios y pautas de trabajo en la cursada</w:t>
      </w:r>
    </w:p>
    <w:p w:rsidR="5B0E99EA" w:rsidP="07F42052" w:rsidRDefault="5B0E99EA" w14:paraId="49984284" w14:textId="14D7F536">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r w:rsidRPr="07F42052" w:rsidR="07F42052">
        <w:rPr>
          <w:rFonts w:ascii="Calibri" w:hAnsi="Calibri" w:eastAsia="Calibri" w:cs="Calibri"/>
          <w:b w:val="0"/>
          <w:bCs w:val="0"/>
          <w:i w:val="0"/>
          <w:iCs w:val="0"/>
          <w:noProof w:val="0"/>
          <w:color w:val="000000" w:themeColor="text1" w:themeTint="FF" w:themeShade="FF"/>
          <w:sz w:val="24"/>
          <w:szCs w:val="24"/>
          <w:lang w:val="es-AR"/>
        </w:rPr>
        <w:t>Las clases se llevarán delante de manera sincrónica a través de meet y asincrónica, con la participación del estudiante a través del foro o actividades en la plataforma del INFOD.</w:t>
      </w:r>
    </w:p>
    <w:p w:rsidR="07F42052" w:rsidP="07F42052" w:rsidRDefault="07F42052" w14:paraId="03071B61" w14:textId="6C39A9D9">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r w:rsidRPr="07F42052" w:rsidR="07F42052">
        <w:rPr>
          <w:rFonts w:ascii="Calibri" w:hAnsi="Calibri" w:eastAsia="Calibri" w:cs="Calibri"/>
          <w:b w:val="0"/>
          <w:bCs w:val="0"/>
          <w:i w:val="0"/>
          <w:iCs w:val="0"/>
          <w:noProof w:val="0"/>
          <w:color w:val="000000" w:themeColor="text1" w:themeTint="FF" w:themeShade="FF"/>
          <w:sz w:val="24"/>
          <w:szCs w:val="24"/>
          <w:lang w:val="es-AR"/>
        </w:rPr>
        <w:t xml:space="preserve">También se trabajará en articulación con la materia Psicología del Desarrollo y del Aprendizaje I, articulando contenidos que serán abordados de manera complementaria en ambos espacios. Se prevé en la segunda parte del año, llevar adelante un trabajo sobre el desarrollo de un caso.  </w:t>
      </w:r>
    </w:p>
    <w:p w:rsidR="6F5D3897" w:rsidP="6F5D3897" w:rsidRDefault="6F5D3897" w14:paraId="53990BF9" w14:textId="4A5DCED8">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Alumnos libres:</w:t>
      </w:r>
    </w:p>
    <w:p w:rsidR="6F5D3897" w:rsidP="6F5D3897" w:rsidRDefault="6F5D3897" w14:paraId="16D215DC" w14:textId="7A8E7E6D">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La instancia de evaluación será la misma que para alumnos regulares salvando las actividades de extensión. </w:t>
      </w:r>
    </w:p>
    <w:p w:rsidR="6F5D3897" w:rsidP="6F5D3897" w:rsidRDefault="6F5D3897" w14:paraId="21625B91" w14:textId="36BEB0E2">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Se aclara que estando en condiciones de rendir examen final habrá una instancia </w:t>
      </w:r>
      <w:r w:rsidRPr="5B0E99EA" w:rsidR="5B0E99EA">
        <w:rPr>
          <w:rFonts w:ascii="Calibri" w:hAnsi="Calibri" w:eastAsia="Calibri" w:cs="Calibri"/>
          <w:b w:val="0"/>
          <w:bCs w:val="0"/>
          <w:i w:val="0"/>
          <w:iCs w:val="0"/>
          <w:noProof w:val="0"/>
          <w:color w:val="000000" w:themeColor="text1" w:themeTint="FF" w:themeShade="FF"/>
          <w:sz w:val="24"/>
          <w:szCs w:val="24"/>
          <w:lang w:val="es-AR"/>
        </w:rPr>
        <w:t>escrita en</w:t>
      </w: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un primer momento y si esta es aprobada se deberá pasar al oral</w:t>
      </w:r>
    </w:p>
    <w:p w:rsidR="5B0E99EA" w:rsidP="5B0E99EA" w:rsidRDefault="5B0E99EA" w14:paraId="21024669" w14:textId="20C229EA">
      <w:pPr>
        <w:spacing w:after="200" w:line="276" w:lineRule="auto"/>
        <w:rPr>
          <w:rFonts w:ascii="Calibri" w:hAnsi="Calibri" w:eastAsia="Calibri" w:cs="Calibri"/>
          <w:b w:val="1"/>
          <w:bCs w:val="1"/>
          <w:i w:val="1"/>
          <w:iCs w:val="1"/>
          <w:noProof w:val="0"/>
          <w:color w:val="000000" w:themeColor="text1" w:themeTint="FF" w:themeShade="FF"/>
          <w:sz w:val="24"/>
          <w:szCs w:val="24"/>
          <w:lang w:val="es-AR"/>
        </w:rPr>
      </w:pPr>
    </w:p>
    <w:p w:rsidR="6F5D3897" w:rsidP="6F5D3897" w:rsidRDefault="6F5D3897" w14:paraId="302BF560" w14:textId="5E692236">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Criterios de evaluación:</w:t>
      </w:r>
    </w:p>
    <w:p w:rsidR="6F5D3897" w:rsidP="5B0E99EA" w:rsidRDefault="6F5D3897" w14:paraId="2A0EE8CF" w14:textId="06E940C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La misma se llevará a cabo en carácter continuo, se evaluará el compromiso con la materia y la participación, así como las lecturas recomendadas para cada clase. Asimismo, se atenderá a la actitud colaborativa en los trabajos por parejas o pequeños grupos</w:t>
      </w:r>
    </w:p>
    <w:p w:rsidR="6F5D3897" w:rsidP="5B0E99EA" w:rsidRDefault="6F5D3897" w14:paraId="7E701843" w14:textId="447A2F91">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Presentación en tiempo y forma de trabajos individuales o en parejas. En el caso en que se presenten videos de niños, debe ser con previa autorización de los progenitores. </w:t>
      </w:r>
    </w:p>
    <w:p w:rsidR="6F5D3897" w:rsidP="6F5D3897" w:rsidRDefault="6F5D3897" w14:paraId="591292FD" w14:textId="27124633">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Cumplimiento de asistencia horas cátedras y a las actividades de extensión.</w:t>
      </w:r>
    </w:p>
    <w:p w:rsidR="6F5D3897" w:rsidP="5B0E99EA" w:rsidRDefault="6F5D3897" w14:paraId="49E35C41" w14:textId="0B69D3B4">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Parcial individual o en parejas </w:t>
      </w:r>
      <w:r w:rsidRPr="5B0E99EA" w:rsidR="5B0E99EA">
        <w:rPr>
          <w:rFonts w:ascii="Calibri" w:hAnsi="Calibri" w:eastAsia="Calibri" w:cs="Calibri"/>
          <w:b w:val="0"/>
          <w:bCs w:val="0"/>
          <w:i w:val="0"/>
          <w:iCs w:val="0"/>
          <w:noProof w:val="0"/>
          <w:color w:val="000000" w:themeColor="text1" w:themeTint="FF" w:themeShade="FF"/>
          <w:sz w:val="24"/>
          <w:szCs w:val="24"/>
          <w:lang w:val="es-AR"/>
        </w:rPr>
        <w:t>pedagógicas</w:t>
      </w:r>
    </w:p>
    <w:p w:rsidR="6F5D3897" w:rsidP="5B0E99EA" w:rsidRDefault="6F5D3897" w14:paraId="479C07AF" w14:textId="70CA8E31">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Instancia de Parcial recuperatorio.</w:t>
      </w:r>
    </w:p>
    <w:p w:rsidR="5B0E99EA" w:rsidP="5B0E99EA" w:rsidRDefault="5B0E99EA" w14:paraId="60E1013F" w14:textId="0A5CD1DC">
      <w:pPr>
        <w:spacing w:after="200" w:line="276" w:lineRule="auto"/>
        <w:rPr>
          <w:rFonts w:ascii="Calibri" w:hAnsi="Calibri" w:eastAsia="Calibri" w:cs="Calibri"/>
          <w:b w:val="1"/>
          <w:bCs w:val="1"/>
          <w:i w:val="1"/>
          <w:iCs w:val="1"/>
          <w:noProof w:val="0"/>
          <w:color w:val="000000" w:themeColor="text1" w:themeTint="FF" w:themeShade="FF"/>
          <w:sz w:val="24"/>
          <w:szCs w:val="24"/>
          <w:lang w:val="es-AR"/>
        </w:rPr>
      </w:pPr>
    </w:p>
    <w:p w:rsidR="6F5D3897" w:rsidP="6F5D3897" w:rsidRDefault="6F5D3897" w14:paraId="67B82CA0" w14:textId="5A02D71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Recursos</w:t>
      </w:r>
    </w:p>
    <w:p w:rsidR="6F5D3897" w:rsidP="6F5D3897" w:rsidRDefault="6F5D3897" w14:paraId="72844766" w14:textId="05997B3D">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Experiencias de observación individual y grupal, entrevista a padres del niño y elaboración de informes. </w:t>
      </w:r>
    </w:p>
    <w:p w:rsidR="6F5D3897" w:rsidP="6F5D3897" w:rsidRDefault="6F5D3897" w14:paraId="68286CF6" w14:textId="361CE2D2">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Módulos audiovisuales</w:t>
      </w:r>
    </w:p>
    <w:p w:rsidR="6F5D3897" w:rsidP="6F5D3897" w:rsidRDefault="6F5D3897" w14:paraId="125C7B63" w14:textId="6891188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Grupos de análisis y debates de materiales trabajados</w:t>
      </w:r>
    </w:p>
    <w:p w:rsidR="6F5D3897" w:rsidP="6F5D3897" w:rsidRDefault="6F5D3897" w14:paraId="41A3CC2F" w14:textId="5CDA70AB">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Esquemas y cuadros comparativos</w:t>
      </w:r>
    </w:p>
    <w:p w:rsidR="6F5D3897" w:rsidP="6F5D3897" w:rsidRDefault="6F5D3897" w14:paraId="7ED0ED45" w14:textId="4A08521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Devoluciones grupales favoreciendo el intercambio de ideas</w:t>
      </w:r>
    </w:p>
    <w:p w:rsidR="6F5D3897" w:rsidP="5B0E99EA" w:rsidRDefault="6F5D3897" w14:paraId="16BB8B72" w14:textId="60186FB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Entrevista a docentes de jardines maternales o centros de estimulación temprana. </w:t>
      </w:r>
    </w:p>
    <w:p w:rsidR="6F5D3897" w:rsidP="6F5D3897" w:rsidRDefault="6F5D3897" w14:paraId="2B2F1157" w14:textId="292D26E8">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3E2270FE" w14:textId="0452E096">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1"/>
          <w:bCs w:val="1"/>
          <w:i w:val="1"/>
          <w:iCs w:val="1"/>
          <w:noProof w:val="0"/>
          <w:color w:val="000000" w:themeColor="text1" w:themeTint="FF" w:themeShade="FF"/>
          <w:sz w:val="24"/>
          <w:szCs w:val="24"/>
          <w:lang w:val="es-AR"/>
        </w:rPr>
        <w:t>Bloques de contenidos:</w:t>
      </w:r>
    </w:p>
    <w:p w:rsidR="6F5D3897" w:rsidP="5B0E99EA" w:rsidRDefault="6F5D3897" w14:paraId="63344701" w14:textId="77117909">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strike w:val="0"/>
          <w:dstrike w:val="0"/>
          <w:noProof w:val="0"/>
          <w:color w:val="000000" w:themeColor="text1" w:themeTint="FF" w:themeShade="FF"/>
          <w:sz w:val="24"/>
          <w:szCs w:val="24"/>
          <w:u w:val="single"/>
          <w:lang w:val="es-AR"/>
        </w:rPr>
        <w:t xml:space="preserve">Unidad I: La educación temprana como prevención.  Su </w:t>
      </w:r>
      <w:r w:rsidRPr="5B0E99EA" w:rsidR="5B0E99EA">
        <w:rPr>
          <w:rFonts w:ascii="Calibri" w:hAnsi="Calibri" w:eastAsia="Calibri" w:cs="Calibri"/>
          <w:b w:val="0"/>
          <w:bCs w:val="0"/>
          <w:i w:val="0"/>
          <w:iCs w:val="0"/>
          <w:strike w:val="0"/>
          <w:dstrike w:val="0"/>
          <w:noProof w:val="0"/>
          <w:color w:val="000000" w:themeColor="text1" w:themeTint="FF" w:themeShade="FF"/>
          <w:sz w:val="24"/>
          <w:szCs w:val="24"/>
          <w:u w:val="single"/>
          <w:lang w:val="es-AR"/>
        </w:rPr>
        <w:t>mirada neurofisiológica</w:t>
      </w:r>
    </w:p>
    <w:p w:rsidR="6F5D3897" w:rsidP="6F5D3897" w:rsidRDefault="6F5D3897" w14:paraId="52657E19" w14:textId="378BD40B">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La educación temprana como optimización de procesos de procesos educativos y como </w:t>
      </w:r>
      <w:r w:rsidRPr="6F5D3897" w:rsidR="6F5D3897">
        <w:rPr>
          <w:rFonts w:ascii="Calibri" w:hAnsi="Calibri" w:eastAsia="Calibri" w:cs="Calibri"/>
          <w:b w:val="0"/>
          <w:bCs w:val="0"/>
          <w:i w:val="0"/>
          <w:iCs w:val="0"/>
          <w:noProof w:val="0"/>
          <w:color w:val="000000" w:themeColor="text1" w:themeTint="FF" w:themeShade="FF"/>
          <w:sz w:val="24"/>
          <w:szCs w:val="24"/>
          <w:lang w:val="es-AR"/>
        </w:rPr>
        <w:t>prevención niños</w:t>
      </w:r>
      <w:r w:rsidRPr="6F5D3897" w:rsidR="6F5D3897">
        <w:rPr>
          <w:rFonts w:ascii="Calibri" w:hAnsi="Calibri" w:eastAsia="Calibri" w:cs="Calibri"/>
          <w:b w:val="0"/>
          <w:bCs w:val="0"/>
          <w:i w:val="0"/>
          <w:iCs w:val="0"/>
          <w:noProof w:val="0"/>
          <w:color w:val="000000" w:themeColor="text1" w:themeTint="FF" w:themeShade="FF"/>
          <w:sz w:val="24"/>
          <w:szCs w:val="24"/>
          <w:lang w:val="es-AR"/>
        </w:rPr>
        <w:t>/as con patologías o en situación de riesgo ambiental.</w:t>
      </w:r>
    </w:p>
    <w:p w:rsidR="6F5D3897" w:rsidP="6F5D3897" w:rsidRDefault="6F5D3897" w14:paraId="4E7668B7" w14:textId="718DC25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Sustentos neurofisiológicos. El sistema nervioso y su actividad como base de la conducta. Maduración neurológica en los primeros años de vida.</w:t>
      </w:r>
    </w:p>
    <w:p w:rsidR="6F5D3897" w:rsidP="6F5D3897" w:rsidRDefault="6F5D3897" w14:paraId="51F161BC" w14:textId="66AD3016">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Bibliografía obligatoria:</w:t>
      </w:r>
    </w:p>
    <w:p w:rsidR="6F5D3897" w:rsidP="6F5D3897" w:rsidRDefault="6F5D3897" w14:paraId="6199525C" w14:textId="2067C762">
      <w:pPr>
        <w:pStyle w:val="ListParagraph"/>
        <w:numPr>
          <w:ilvl w:val="0"/>
          <w:numId w:val="2"/>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Coriat  L. “Maduración psicomotriz en el primer año de vida”. Ed. Hemisur, Bs. As. (1990)</w:t>
      </w:r>
    </w:p>
    <w:p w:rsidR="6F5D3897" w:rsidP="6F5D3897" w:rsidRDefault="6F5D3897" w14:paraId="07424022" w14:textId="0B489E42">
      <w:pPr>
        <w:pStyle w:val="ListParagraph"/>
        <w:numPr>
          <w:ilvl w:val="0"/>
          <w:numId w:val="2"/>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Pikler, E. “Moverse en libertad. Desarrollo de la motricidad global”. Ed, Nacea</w:t>
      </w:r>
    </w:p>
    <w:p w:rsidR="6F5D3897" w:rsidP="6F5D3897" w:rsidRDefault="6F5D3897" w14:paraId="7340BD2B" w14:textId="7BD428A8">
      <w:pPr>
        <w:pStyle w:val="ListParagraph"/>
        <w:numPr>
          <w:ilvl w:val="0"/>
          <w:numId w:val="2"/>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Consejo Nacional de Coordinación de Políticas sociales Presidencia de la Nación, “La atención del desarrollo </w:t>
      </w:r>
      <w:r w:rsidRPr="6F5D3897" w:rsidR="6F5D3897">
        <w:rPr>
          <w:rFonts w:ascii="Calibri" w:hAnsi="Calibri" w:eastAsia="Calibri" w:cs="Calibri"/>
          <w:b w:val="0"/>
          <w:bCs w:val="0"/>
          <w:i w:val="0"/>
          <w:iCs w:val="0"/>
          <w:noProof w:val="0"/>
          <w:color w:val="000000" w:themeColor="text1" w:themeTint="FF" w:themeShade="FF"/>
          <w:sz w:val="24"/>
          <w:szCs w:val="24"/>
          <w:lang w:val="es-AR"/>
        </w:rPr>
        <w:t>Infantil desde</w:t>
      </w: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 una perspectiva de derechos”, Material destinado al equipo técnico. </w:t>
      </w:r>
    </w:p>
    <w:p w:rsidR="6F5D3897" w:rsidP="6F5D3897" w:rsidRDefault="6F5D3897" w14:paraId="70F5F7A9" w14:textId="4D0C1A17">
      <w:pPr>
        <w:pStyle w:val="ListParagraph"/>
        <w:numPr>
          <w:ilvl w:val="0"/>
          <w:numId w:val="2"/>
        </w:numPr>
        <w:spacing w:after="200" w:line="276" w:lineRule="auto"/>
        <w:rPr>
          <w:b w:val="0"/>
          <w:bCs w:val="0"/>
          <w:i w:val="0"/>
          <w:iCs w:val="0"/>
          <w:noProof w:val="0"/>
          <w:color w:val="000000" w:themeColor="text1" w:themeTint="FF" w:themeShade="FF"/>
          <w:sz w:val="24"/>
          <w:szCs w:val="24"/>
          <w:lang w:val="es-AR"/>
        </w:rPr>
      </w:pPr>
      <w:r w:rsidRPr="6F5D3897" w:rsidR="6F5D3897">
        <w:rPr>
          <w:rFonts w:ascii="Calibri" w:hAnsi="Calibri" w:eastAsia="Calibri" w:cs="Calibri"/>
          <w:b w:val="0"/>
          <w:bCs w:val="0"/>
          <w:i w:val="0"/>
          <w:iCs w:val="0"/>
          <w:noProof w:val="0"/>
          <w:color w:val="000000" w:themeColor="text1" w:themeTint="FF" w:themeShade="FF"/>
          <w:sz w:val="24"/>
          <w:szCs w:val="24"/>
          <w:lang w:val="es-AR"/>
        </w:rPr>
        <w:t>CHOKLER, Mirta; “Los organizadores del desarrollo”</w:t>
      </w:r>
    </w:p>
    <w:p w:rsidR="6F5D3897" w:rsidP="6F5D3897" w:rsidRDefault="6F5D3897" w14:paraId="018B2119" w14:textId="2CF2C56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40F5A930" w14:textId="2179C52C">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Bibliografía sugerida:</w:t>
      </w:r>
    </w:p>
    <w:p w:rsidR="6F5D3897" w:rsidP="6F5D3897" w:rsidRDefault="6F5D3897" w14:paraId="6D66D986" w14:textId="74106F4E">
      <w:pPr>
        <w:pStyle w:val="ListParagraph"/>
        <w:numPr>
          <w:ilvl w:val="0"/>
          <w:numId w:val="3"/>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Escritos de la Infancia. Publicación FEPI Pediatría y Estimulación Temprana.</w:t>
      </w:r>
    </w:p>
    <w:p w:rsidR="6F5D3897" w:rsidP="6F5D3897" w:rsidRDefault="6F5D3897" w14:paraId="29BBFA73" w14:textId="20C221B7">
      <w:pPr>
        <w:pStyle w:val="ListParagraph"/>
        <w:numPr>
          <w:ilvl w:val="0"/>
          <w:numId w:val="3"/>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proofErr w:type="spellStart"/>
      <w:r w:rsidRPr="6F5D3897" w:rsidR="6F5D3897">
        <w:rPr>
          <w:rFonts w:ascii="Calibri" w:hAnsi="Calibri" w:eastAsia="Calibri" w:cs="Calibri"/>
          <w:b w:val="0"/>
          <w:bCs w:val="0"/>
          <w:i w:val="0"/>
          <w:iCs w:val="0"/>
          <w:noProof w:val="0"/>
          <w:color w:val="000000" w:themeColor="text1" w:themeTint="FF" w:themeShade="FF"/>
          <w:sz w:val="24"/>
          <w:szCs w:val="24"/>
          <w:lang w:val="es-AR"/>
        </w:rPr>
        <w:t>Jerusanlisky</w:t>
      </w:r>
      <w:proofErr w:type="spellEnd"/>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 A y Col: Psicoanálisis en problemas del desarrollo infantil” Ed. Nueva Visión. </w:t>
      </w:r>
    </w:p>
    <w:p w:rsidR="6F5D3897" w:rsidP="6F5D3897" w:rsidRDefault="6F5D3897" w14:paraId="3FA5ECB9" w14:textId="0264B748">
      <w:pPr>
        <w:pStyle w:val="ListParagraph"/>
        <w:numPr>
          <w:ilvl w:val="0"/>
          <w:numId w:val="3"/>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Desarrollo Infantil: Primer año de vida. Ministerio de Salud, Presidencia de la Nación</w:t>
      </w:r>
    </w:p>
    <w:p w:rsidR="6F5D3897" w:rsidP="6F5D3897" w:rsidRDefault="6F5D3897" w14:paraId="12BA5221" w14:textId="66F0D535">
      <w:pPr>
        <w:pStyle w:val="Normal"/>
        <w:spacing w:after="200" w:line="276" w:lineRule="auto"/>
        <w:ind w:left="0"/>
        <w:rPr>
          <w:rFonts w:ascii="Calibri" w:hAnsi="Calibri" w:eastAsia="Calibri" w:cs="Calibri"/>
          <w:b w:val="0"/>
          <w:bCs w:val="0"/>
          <w:i w:val="0"/>
          <w:iCs w:val="0"/>
          <w:noProof w:val="0"/>
          <w:color w:val="000000" w:themeColor="text1" w:themeTint="FF" w:themeShade="FF"/>
          <w:sz w:val="24"/>
          <w:szCs w:val="24"/>
          <w:lang w:val="es-AR"/>
        </w:rPr>
      </w:pPr>
    </w:p>
    <w:p w:rsidR="6F5D3897" w:rsidP="6F5D3897" w:rsidRDefault="6F5D3897" w14:paraId="153D65BF" w14:textId="4DC5B419">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5B0E99EA" w:rsidRDefault="6F5D3897" w14:paraId="6C3713F4" w14:textId="57280A01">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strike w:val="0"/>
          <w:dstrike w:val="0"/>
          <w:noProof w:val="0"/>
          <w:color w:val="000000" w:themeColor="text1" w:themeTint="FF" w:themeShade="FF"/>
          <w:sz w:val="24"/>
          <w:szCs w:val="24"/>
          <w:u w:val="single"/>
          <w:lang w:val="es-AR"/>
        </w:rPr>
        <w:t xml:space="preserve">Unidad II: Del reduccionismo al niño coautor y productor de </w:t>
      </w:r>
      <w:r w:rsidRPr="5B0E99EA" w:rsidR="5B0E99EA">
        <w:rPr>
          <w:rFonts w:ascii="Calibri" w:hAnsi="Calibri" w:eastAsia="Calibri" w:cs="Calibri"/>
          <w:b w:val="0"/>
          <w:bCs w:val="0"/>
          <w:i w:val="0"/>
          <w:iCs w:val="0"/>
          <w:strike w:val="0"/>
          <w:dstrike w:val="0"/>
          <w:noProof w:val="0"/>
          <w:color w:val="000000" w:themeColor="text1" w:themeTint="FF" w:themeShade="FF"/>
          <w:sz w:val="24"/>
          <w:szCs w:val="24"/>
          <w:u w:val="single"/>
          <w:lang w:val="es-AR"/>
        </w:rPr>
        <w:t>conocimiento</w:t>
      </w:r>
    </w:p>
    <w:p w:rsidR="6F5D3897" w:rsidP="5B0E99EA" w:rsidRDefault="6F5D3897" w14:paraId="74033ED0" w14:textId="1FFAAA45">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Marcos teóricos: conductismo, psicoanálisis, </w:t>
      </w:r>
      <w:proofErr w:type="spellStart"/>
      <w:r w:rsidRPr="5B0E99EA" w:rsidR="5B0E99EA">
        <w:rPr>
          <w:rFonts w:ascii="Calibri" w:hAnsi="Calibri" w:eastAsia="Calibri" w:cs="Calibri"/>
          <w:b w:val="0"/>
          <w:bCs w:val="0"/>
          <w:i w:val="0"/>
          <w:iCs w:val="0"/>
          <w:noProof w:val="0"/>
          <w:color w:val="000000" w:themeColor="text1" w:themeTint="FF" w:themeShade="FF"/>
          <w:sz w:val="24"/>
          <w:szCs w:val="24"/>
          <w:lang w:val="es-AR"/>
        </w:rPr>
        <w:t>psicogenesis</w:t>
      </w:r>
      <w:proofErr w:type="spellEnd"/>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Concepción genética e histórico cultural. Pedagogía liberadora. </w:t>
      </w:r>
    </w:p>
    <w:p w:rsidR="6F5D3897" w:rsidP="5B0E99EA" w:rsidRDefault="6F5D3897" w14:paraId="58D2B0E3" w14:textId="7A5B7874">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ES"/>
        </w:rPr>
        <w:t>Reconocimiento de la zona de desarrollo próximo que se generan en el aprendizaje.</w:t>
      </w:r>
    </w:p>
    <w:p w:rsidR="6F5D3897" w:rsidP="5B0E99EA" w:rsidRDefault="6F5D3897" w14:paraId="6AD0E7B9" w14:textId="33F0C9DD">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Procesos cognoscitivos básicos. Desarrollo del pensamiento infantil. Periodos del desarrollo de la inteligencia </w:t>
      </w:r>
    </w:p>
    <w:p w:rsidR="5B0E99EA" w:rsidP="5B0E99EA" w:rsidRDefault="5B0E99EA" w14:paraId="722E7065" w14:textId="7BA9D5A0">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Neurociencias y </w:t>
      </w:r>
      <w:r w:rsidRPr="5B0E99EA" w:rsidR="5B0E99EA">
        <w:rPr>
          <w:rFonts w:ascii="Calibri" w:hAnsi="Calibri" w:eastAsia="Calibri" w:cs="Calibri"/>
          <w:b w:val="0"/>
          <w:bCs w:val="0"/>
          <w:i w:val="0"/>
          <w:iCs w:val="0"/>
          <w:noProof w:val="0"/>
          <w:color w:val="000000" w:themeColor="text1" w:themeTint="FF" w:themeShade="FF"/>
          <w:sz w:val="24"/>
          <w:szCs w:val="24"/>
          <w:lang w:val="es-AR"/>
        </w:rPr>
        <w:t>educación</w:t>
      </w:r>
      <w:r w:rsidRPr="5B0E99EA" w:rsidR="5B0E99EA">
        <w:rPr>
          <w:rFonts w:ascii="Calibri" w:hAnsi="Calibri" w:eastAsia="Calibri" w:cs="Calibri"/>
          <w:b w:val="0"/>
          <w:bCs w:val="0"/>
          <w:i w:val="0"/>
          <w:iCs w:val="0"/>
          <w:noProof w:val="0"/>
          <w:color w:val="000000" w:themeColor="text1" w:themeTint="FF" w:themeShade="FF"/>
          <w:sz w:val="24"/>
          <w:szCs w:val="24"/>
          <w:lang w:val="es-AR"/>
        </w:rPr>
        <w:t>: una mirada actual sobre la primera infancia y el desarrollo</w:t>
      </w:r>
    </w:p>
    <w:p w:rsidR="5B0E99EA" w:rsidP="5B0E99EA" w:rsidRDefault="5B0E99EA" w14:paraId="18A1BAFD" w14:textId="1A9D739D">
      <w:pPr>
        <w:spacing w:after="200" w:line="276" w:lineRule="auto"/>
        <w:rPr>
          <w:rFonts w:ascii="Calibri" w:hAnsi="Calibri" w:eastAsia="Calibri" w:cs="Calibri"/>
          <w:b w:val="0"/>
          <w:bCs w:val="0"/>
          <w:i w:val="0"/>
          <w:iCs w:val="0"/>
          <w:noProof w:val="0"/>
          <w:color w:val="000000" w:themeColor="text1" w:themeTint="FF" w:themeShade="FF"/>
          <w:sz w:val="24"/>
          <w:szCs w:val="24"/>
          <w:u w:val="none"/>
          <w:lang w:val="es-ES"/>
        </w:rPr>
      </w:pPr>
      <w:r w:rsidRPr="5B0E99EA" w:rsidR="5B0E99EA">
        <w:rPr>
          <w:rFonts w:ascii="Calibri" w:hAnsi="Calibri" w:eastAsia="Calibri" w:cs="Calibri"/>
          <w:b w:val="0"/>
          <w:bCs w:val="0"/>
          <w:i w:val="0"/>
          <w:iCs w:val="0"/>
          <w:strike w:val="0"/>
          <w:dstrike w:val="0"/>
          <w:noProof w:val="0"/>
          <w:color w:val="000000" w:themeColor="text1" w:themeTint="FF" w:themeShade="FF"/>
          <w:sz w:val="24"/>
          <w:szCs w:val="24"/>
          <w:u w:val="none"/>
          <w:lang w:val="es-ES"/>
        </w:rPr>
        <w:t>El papel del desarrollo, la singularidad. La familia en los procesos de aprendizaje desde la primera infancia</w:t>
      </w:r>
    </w:p>
    <w:p w:rsidR="5B0E99EA" w:rsidP="5B0E99EA" w:rsidRDefault="5B0E99EA" w14:paraId="4295B97B" w14:textId="760C1622">
      <w:pPr>
        <w:pStyle w:val="Normal"/>
        <w:spacing w:after="200" w:line="276" w:lineRule="auto"/>
        <w:rPr>
          <w:rFonts w:ascii="Calibri" w:hAnsi="Calibri" w:eastAsia="Calibri" w:cs="Calibri"/>
          <w:b w:val="0"/>
          <w:bCs w:val="0"/>
          <w:i w:val="0"/>
          <w:iCs w:val="0"/>
          <w:noProof w:val="0"/>
          <w:color w:val="000000" w:themeColor="text1" w:themeTint="FF" w:themeShade="FF"/>
          <w:sz w:val="24"/>
          <w:szCs w:val="24"/>
          <w:lang w:val="es-AR"/>
        </w:rPr>
      </w:pPr>
    </w:p>
    <w:p w:rsidR="6F5D3897" w:rsidP="6F5D3897" w:rsidRDefault="6F5D3897" w14:paraId="640D3166" w14:textId="47B514FE">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Bibliografía obligatoria: </w:t>
      </w:r>
    </w:p>
    <w:p w:rsidR="6F5D3897" w:rsidP="5B0E99EA" w:rsidRDefault="6F5D3897" w14:paraId="63AC1200" w14:textId="63CBEED0">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Apuntes: Teorías cognitivas del aprendizaje</w:t>
      </w:r>
    </w:p>
    <w:p w:rsidR="6F5D3897" w:rsidP="5B0E99EA" w:rsidRDefault="6F5D3897" w14:paraId="1A582321" w14:textId="189E2BA0">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Piaget, J. “Seis estudios”, Barral Editores</w:t>
      </w:r>
    </w:p>
    <w:p w:rsidR="6F5D3897" w:rsidP="5B0E99EA" w:rsidRDefault="6F5D3897" w14:paraId="4435FE22" w14:textId="06EF1779">
      <w:pPr>
        <w:pStyle w:val="ListParagraph"/>
        <w:numPr>
          <w:ilvl w:val="0"/>
          <w:numId w:val="4"/>
        </w:numPr>
        <w:spacing w:after="200" w:line="276" w:lineRule="auto"/>
        <w:rPr>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Freud, S. “Sobre las teorías psicosexuales” (1908)</w:t>
      </w:r>
    </w:p>
    <w:p w:rsidR="6F5D3897" w:rsidP="5B0E99EA" w:rsidRDefault="6F5D3897" w14:paraId="69EE06A8" w14:textId="3707405C">
      <w:pPr>
        <w:pStyle w:val="ListParagraph"/>
        <w:numPr>
          <w:ilvl w:val="0"/>
          <w:numId w:val="4"/>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Lineamientos teóricos </w:t>
      </w:r>
      <w:r w:rsidRPr="5B0E99EA" w:rsidR="5B0E99EA">
        <w:rPr>
          <w:rFonts w:ascii="Calibri" w:hAnsi="Calibri" w:eastAsia="Calibri" w:cs="Calibri"/>
          <w:b w:val="0"/>
          <w:bCs w:val="0"/>
          <w:i w:val="0"/>
          <w:iCs w:val="0"/>
          <w:noProof w:val="0"/>
          <w:color w:val="000000" w:themeColor="text1" w:themeTint="FF" w:themeShade="FF"/>
          <w:sz w:val="24"/>
          <w:szCs w:val="24"/>
          <w:lang w:val="es-AR"/>
        </w:rPr>
        <w:t>Vigostkianos</w:t>
      </w: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w:t>
      </w:r>
      <w:r w:rsidRPr="5B0E99EA" w:rsidR="5B0E99EA">
        <w:rPr>
          <w:rFonts w:ascii="Calibri" w:hAnsi="Calibri" w:eastAsia="Calibri" w:cs="Calibri"/>
          <w:b w:val="0"/>
          <w:bCs w:val="0"/>
          <w:i w:val="0"/>
          <w:iCs w:val="0"/>
          <w:noProof w:val="0"/>
          <w:color w:val="000000" w:themeColor="text1" w:themeTint="FF" w:themeShade="FF"/>
          <w:sz w:val="24"/>
          <w:szCs w:val="24"/>
          <w:lang w:val="es-AR"/>
        </w:rPr>
        <w:t>Conferencias (</w:t>
      </w:r>
      <w:r w:rsidRPr="5B0E99EA" w:rsidR="5B0E99EA">
        <w:rPr>
          <w:rFonts w:ascii="Calibri" w:hAnsi="Calibri" w:eastAsia="Calibri" w:cs="Calibri"/>
          <w:b w:val="0"/>
          <w:bCs w:val="0"/>
          <w:i w:val="0"/>
          <w:iCs w:val="0"/>
          <w:noProof w:val="0"/>
          <w:color w:val="000000" w:themeColor="text1" w:themeTint="FF" w:themeShade="FF"/>
          <w:sz w:val="24"/>
          <w:szCs w:val="24"/>
          <w:lang w:val="es-AR"/>
        </w:rPr>
        <w:t>2005)</w:t>
      </w:r>
    </w:p>
    <w:p w:rsidR="5B0E99EA" w:rsidP="5B0E99EA" w:rsidRDefault="5B0E99EA" w14:paraId="32D2DE4B" w14:textId="4F69B888">
      <w:pPr>
        <w:pStyle w:val="ListParagraph"/>
        <w:numPr>
          <w:ilvl w:val="0"/>
          <w:numId w:val="4"/>
        </w:numPr>
        <w:spacing w:after="200" w:line="276" w:lineRule="auto"/>
        <w:rPr>
          <w:b w:val="0"/>
          <w:bCs w:val="0"/>
          <w:i w:val="0"/>
          <w:iCs w:val="0"/>
          <w:noProof w:val="0"/>
          <w:color w:val="000000" w:themeColor="text1" w:themeTint="FF" w:themeShade="FF"/>
          <w:sz w:val="24"/>
          <w:szCs w:val="24"/>
          <w:lang w:val="es-AR"/>
        </w:rPr>
      </w:pPr>
      <w:proofErr w:type="spellStart"/>
      <w:r w:rsidRPr="5B0E99EA" w:rsidR="5B0E99EA">
        <w:rPr>
          <w:rFonts w:ascii="Calibri" w:hAnsi="Calibri" w:eastAsia="Calibri" w:cs="Calibri"/>
          <w:b w:val="0"/>
          <w:bCs w:val="0"/>
          <w:i w:val="0"/>
          <w:iCs w:val="0"/>
          <w:noProof w:val="0"/>
          <w:color w:val="000000" w:themeColor="text1" w:themeTint="FF" w:themeShade="FF"/>
          <w:sz w:val="24"/>
          <w:szCs w:val="24"/>
          <w:lang w:val="es-AR"/>
        </w:rPr>
        <w:t>Dehaene</w:t>
      </w:r>
      <w:proofErr w:type="spellEnd"/>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w:t>
      </w:r>
      <w:proofErr w:type="spellStart"/>
      <w:r w:rsidRPr="5B0E99EA" w:rsidR="5B0E99EA">
        <w:rPr>
          <w:rFonts w:ascii="Calibri" w:hAnsi="Calibri" w:eastAsia="Calibri" w:cs="Calibri"/>
          <w:b w:val="0"/>
          <w:bCs w:val="0"/>
          <w:i w:val="0"/>
          <w:iCs w:val="0"/>
          <w:noProof w:val="0"/>
          <w:color w:val="000000" w:themeColor="text1" w:themeTint="FF" w:themeShade="FF"/>
          <w:sz w:val="24"/>
          <w:szCs w:val="24"/>
          <w:lang w:val="es-AR"/>
        </w:rPr>
        <w:t>Stanislas</w:t>
      </w:r>
      <w:proofErr w:type="spellEnd"/>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“¿Como </w:t>
      </w:r>
      <w:r w:rsidRPr="5B0E99EA" w:rsidR="5B0E99EA">
        <w:rPr>
          <w:rFonts w:ascii="Calibri" w:hAnsi="Calibri" w:eastAsia="Calibri" w:cs="Calibri"/>
          <w:b w:val="0"/>
          <w:bCs w:val="0"/>
          <w:i w:val="0"/>
          <w:iCs w:val="0"/>
          <w:noProof w:val="0"/>
          <w:color w:val="000000" w:themeColor="text1" w:themeTint="FF" w:themeShade="FF"/>
          <w:sz w:val="24"/>
          <w:szCs w:val="24"/>
          <w:lang w:val="es-AR"/>
        </w:rPr>
        <w:t>aprendemos?</w:t>
      </w: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Editorial siglo Veintiuno, Tercera edición (2020)</w:t>
      </w:r>
    </w:p>
    <w:p w:rsidR="6F5D3897" w:rsidP="6F5D3897" w:rsidRDefault="6F5D3897" w14:paraId="72A2A6EF" w14:textId="38DCAFBD">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Bibliografía sugerida:</w:t>
      </w:r>
    </w:p>
    <w:p w:rsidR="6F5D3897" w:rsidP="6F5D3897" w:rsidRDefault="6F5D3897" w14:paraId="1171E333" w14:textId="1CDC6D31">
      <w:pPr>
        <w:pStyle w:val="ListParagraph"/>
        <w:numPr>
          <w:ilvl w:val="0"/>
          <w:numId w:val="5"/>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Freire, P. “Pedagogía de la autonomía” Edit. Siglo XXI, Buenos Aires</w:t>
      </w:r>
    </w:p>
    <w:p w:rsidR="6F5D3897" w:rsidP="5B0E99EA" w:rsidRDefault="6F5D3897" w14:paraId="58659FD1" w14:textId="31BFE957">
      <w:pPr>
        <w:pStyle w:val="ListParagraph"/>
        <w:numPr>
          <w:ilvl w:val="0"/>
          <w:numId w:val="5"/>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Carretero, M. “Constructivismo y educación. “ </w:t>
      </w:r>
      <w:proofErr w:type="spellStart"/>
      <w:r w:rsidRPr="5B0E99EA" w:rsidR="5B0E99EA">
        <w:rPr>
          <w:rFonts w:ascii="Calibri" w:hAnsi="Calibri" w:eastAsia="Calibri" w:cs="Calibri"/>
          <w:b w:val="0"/>
          <w:bCs w:val="0"/>
          <w:i w:val="0"/>
          <w:iCs w:val="0"/>
          <w:noProof w:val="0"/>
          <w:color w:val="000000" w:themeColor="text1" w:themeTint="FF" w:themeShade="FF"/>
          <w:sz w:val="24"/>
          <w:szCs w:val="24"/>
          <w:lang w:val="es-AR"/>
        </w:rPr>
        <w:t>Cap</w:t>
      </w:r>
      <w:proofErr w:type="spellEnd"/>
      <w:r w:rsidRPr="5B0E99EA" w:rsidR="5B0E99EA">
        <w:rPr>
          <w:rFonts w:ascii="Calibri" w:hAnsi="Calibri" w:eastAsia="Calibri" w:cs="Calibri"/>
          <w:b w:val="0"/>
          <w:bCs w:val="0"/>
          <w:i w:val="0"/>
          <w:iCs w:val="0"/>
          <w:noProof w:val="0"/>
          <w:color w:val="000000" w:themeColor="text1" w:themeTint="FF" w:themeShade="FF"/>
          <w:sz w:val="24"/>
          <w:szCs w:val="24"/>
          <w:lang w:val="es-AR"/>
        </w:rPr>
        <w:t xml:space="preserve">: Constructivismo, aportes de Ausubel y psicología </w:t>
      </w:r>
      <w:r w:rsidRPr="5B0E99EA" w:rsidR="5B0E99EA">
        <w:rPr>
          <w:rFonts w:ascii="Calibri" w:hAnsi="Calibri" w:eastAsia="Calibri" w:cs="Calibri"/>
          <w:b w:val="0"/>
          <w:bCs w:val="0"/>
          <w:i w:val="0"/>
          <w:iCs w:val="0"/>
          <w:noProof w:val="0"/>
          <w:color w:val="000000" w:themeColor="text1" w:themeTint="FF" w:themeShade="FF"/>
          <w:sz w:val="24"/>
          <w:szCs w:val="24"/>
          <w:lang w:val="es-AR"/>
        </w:rPr>
        <w:t>Genética</w:t>
      </w:r>
    </w:p>
    <w:p w:rsidR="6F5D3897" w:rsidP="6F5D3897" w:rsidRDefault="6F5D3897" w14:paraId="1B30366E" w14:textId="12F36DBD">
      <w:pPr>
        <w:pStyle w:val="ListParagraph"/>
        <w:numPr>
          <w:ilvl w:val="0"/>
          <w:numId w:val="5"/>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Piaget, J. “El nacimiento de la inteligencia”</w:t>
      </w:r>
    </w:p>
    <w:p w:rsidR="6F5D3897" w:rsidP="6F5D3897" w:rsidRDefault="6F5D3897" w14:paraId="3810CDEE" w14:textId="37CECF34">
      <w:pPr>
        <w:pStyle w:val="ListParagraph"/>
        <w:numPr>
          <w:ilvl w:val="0"/>
          <w:numId w:val="5"/>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Freud, S. “Obras completas. Tres ensayos de la teoría psicosexual”</w:t>
      </w:r>
    </w:p>
    <w:p w:rsidR="6F5D3897" w:rsidP="6F5D3897" w:rsidRDefault="6F5D3897" w14:paraId="71A6C7A2" w14:textId="42DC97D0">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302D099B" w14:textId="57C211AA">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strike w:val="0"/>
          <w:dstrike w:val="0"/>
          <w:noProof w:val="0"/>
          <w:color w:val="000000" w:themeColor="text1" w:themeTint="FF" w:themeShade="FF"/>
          <w:sz w:val="24"/>
          <w:szCs w:val="24"/>
          <w:u w:val="single"/>
          <w:lang w:val="es-AR"/>
        </w:rPr>
        <w:t>Unidad III: La construcción subjetiva y del pensamiento en los primeros años: sus efectos en el cuerpo</w:t>
      </w:r>
    </w:p>
    <w:p w:rsidR="6F5D3897" w:rsidP="6F5D3897" w:rsidRDefault="6F5D3897" w14:paraId="1A972535" w14:textId="1EDC07B0">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Líneas directrices que señalan los aspectos prioritarios de la estimulación en diferentes momentos del desarrollo infantil</w:t>
      </w:r>
    </w:p>
    <w:p w:rsidR="6F5D3897" w:rsidP="6F5D3897" w:rsidRDefault="6F5D3897" w14:paraId="24575D63" w14:textId="5188093E">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El contacto corporal, el dialogo tónico. Cuidados en el manejo del cuerpo del lactante.</w:t>
      </w:r>
    </w:p>
    <w:p w:rsidR="6F5D3897" w:rsidP="6F5D3897" w:rsidRDefault="6F5D3897" w14:paraId="11162645" w14:textId="5F303DBB">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Marcas que se inscriben en el cuerpo infantil.</w:t>
      </w:r>
    </w:p>
    <w:p w:rsidR="6F5D3897" w:rsidP="6F5D3897" w:rsidRDefault="6F5D3897" w14:paraId="78D97201" w14:textId="789D2447">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Teoría </w:t>
      </w:r>
      <w:r w:rsidRPr="6F5D3897" w:rsidR="6F5D3897">
        <w:rPr>
          <w:rFonts w:ascii="Calibri" w:hAnsi="Calibri" w:eastAsia="Calibri" w:cs="Calibri"/>
          <w:b w:val="0"/>
          <w:bCs w:val="0"/>
          <w:i w:val="0"/>
          <w:iCs w:val="0"/>
          <w:noProof w:val="0"/>
          <w:color w:val="000000" w:themeColor="text1" w:themeTint="FF" w:themeShade="FF"/>
          <w:sz w:val="24"/>
          <w:szCs w:val="24"/>
          <w:lang w:val="es-AR"/>
        </w:rPr>
        <w:t>del Apego</w:t>
      </w:r>
      <w:r w:rsidRPr="6F5D3897" w:rsidR="6F5D3897">
        <w:rPr>
          <w:rFonts w:ascii="Calibri" w:hAnsi="Calibri" w:eastAsia="Calibri" w:cs="Calibri"/>
          <w:b w:val="0"/>
          <w:bCs w:val="0"/>
          <w:i w:val="0"/>
          <w:iCs w:val="0"/>
          <w:noProof w:val="0"/>
          <w:color w:val="000000" w:themeColor="text1" w:themeTint="FF" w:themeShade="FF"/>
          <w:sz w:val="24"/>
          <w:szCs w:val="24"/>
          <w:lang w:val="es-AR"/>
        </w:rPr>
        <w:t>: seguro; ansioso y ambivalente; evitativo; inseguro</w:t>
      </w:r>
    </w:p>
    <w:p w:rsidR="6F5D3897" w:rsidP="6F5D3897" w:rsidRDefault="6F5D3897" w14:paraId="0606C46F" w14:textId="774704C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Relaciones objetales: relación madre-hijo. Plasticidad del psiquismo infantil. Los afectos de placer y desagrado en el niño pequeño: organizadores. El establecimiento de nuevas relaciones. </w:t>
      </w:r>
    </w:p>
    <w:p w:rsidR="6F5D3897" w:rsidP="6F5D3897" w:rsidRDefault="6F5D3897" w14:paraId="74D4EF7D" w14:textId="41C157A7">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Bibliografía obligatoria:</w:t>
      </w:r>
    </w:p>
    <w:p w:rsidR="6F5D3897" w:rsidP="6F5D3897" w:rsidRDefault="6F5D3897" w14:paraId="2D937FA8" w14:textId="66DBE368">
      <w:pPr>
        <w:pStyle w:val="ListParagraph"/>
        <w:numPr>
          <w:ilvl w:val="0"/>
          <w:numId w:val="6"/>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AR"/>
        </w:rPr>
        <w:t xml:space="preserve">Levin, E. “La clínica psicomotriz. El cuerpo en el lenguaje”. </w:t>
      </w:r>
      <w:r w:rsidRPr="6F5D3897" w:rsidR="6F5D3897">
        <w:rPr>
          <w:rFonts w:ascii="Calibri" w:hAnsi="Calibri" w:eastAsia="Calibri" w:cs="Calibri"/>
          <w:b w:val="0"/>
          <w:bCs w:val="0"/>
          <w:i w:val="0"/>
          <w:iCs w:val="0"/>
          <w:noProof w:val="0"/>
          <w:color w:val="000000" w:themeColor="text1" w:themeTint="FF" w:themeShade="FF"/>
          <w:sz w:val="24"/>
          <w:szCs w:val="24"/>
          <w:lang w:val="en-US"/>
        </w:rPr>
        <w:t>Ed. Nueva Vision, Bs. As. (1992)</w:t>
      </w:r>
    </w:p>
    <w:p w:rsidR="6F5D3897" w:rsidP="5B0E99EA" w:rsidRDefault="6F5D3897" w14:paraId="363B1260" w14:textId="554DD75B">
      <w:pPr>
        <w:pStyle w:val="ListParagraph"/>
        <w:numPr>
          <w:ilvl w:val="0"/>
          <w:numId w:val="6"/>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s-ES"/>
        </w:rPr>
      </w:pPr>
      <w:r w:rsidRPr="5B0E99EA" w:rsidR="5B0E99EA">
        <w:rPr>
          <w:rFonts w:ascii="Calibri" w:hAnsi="Calibri" w:eastAsia="Calibri" w:cs="Calibri"/>
          <w:b w:val="0"/>
          <w:bCs w:val="0"/>
          <w:i w:val="0"/>
          <w:iCs w:val="0"/>
          <w:noProof w:val="0"/>
          <w:color w:val="000000" w:themeColor="text1" w:themeTint="FF" w:themeShade="FF"/>
          <w:sz w:val="22"/>
          <w:szCs w:val="22"/>
          <w:lang w:val="en-US"/>
        </w:rPr>
        <w:t xml:space="preserve">Spitz Rene. “El primer </w:t>
      </w:r>
      <w:proofErr w:type="spellStart"/>
      <w:r w:rsidRPr="5B0E99EA" w:rsidR="5B0E99EA">
        <w:rPr>
          <w:rFonts w:ascii="Calibri" w:hAnsi="Calibri" w:eastAsia="Calibri" w:cs="Calibri"/>
          <w:b w:val="0"/>
          <w:bCs w:val="0"/>
          <w:i w:val="0"/>
          <w:iCs w:val="0"/>
          <w:noProof w:val="0"/>
          <w:color w:val="000000" w:themeColor="text1" w:themeTint="FF" w:themeShade="FF"/>
          <w:sz w:val="22"/>
          <w:szCs w:val="22"/>
          <w:lang w:val="en-US"/>
        </w:rPr>
        <w:t>año</w:t>
      </w:r>
      <w:proofErr w:type="spellEnd"/>
      <w:r w:rsidRPr="5B0E99EA" w:rsidR="5B0E99EA">
        <w:rPr>
          <w:rFonts w:ascii="Calibri" w:hAnsi="Calibri" w:eastAsia="Calibri" w:cs="Calibri"/>
          <w:b w:val="0"/>
          <w:bCs w:val="0"/>
          <w:i w:val="0"/>
          <w:iCs w:val="0"/>
          <w:noProof w:val="0"/>
          <w:color w:val="000000" w:themeColor="text1" w:themeTint="FF" w:themeShade="FF"/>
          <w:sz w:val="22"/>
          <w:szCs w:val="22"/>
          <w:lang w:val="en-US"/>
        </w:rPr>
        <w:t xml:space="preserve"> de Vida del Niño”. Ed. Aguilar</w:t>
      </w:r>
    </w:p>
    <w:p w:rsidR="6F5D3897" w:rsidP="6F5D3897" w:rsidRDefault="6F5D3897" w14:paraId="396743F2" w14:textId="4652C662">
      <w:pPr>
        <w:pStyle w:val="ListParagraph"/>
        <w:numPr>
          <w:ilvl w:val="0"/>
          <w:numId w:val="6"/>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ES"/>
        </w:rPr>
        <w:t>Cuadernos de Estimulación Temprana, Revistas FEPI</w:t>
      </w:r>
    </w:p>
    <w:p w:rsidR="6F5D3897" w:rsidP="6F5D3897" w:rsidRDefault="6F5D3897" w14:paraId="24F92715" w14:textId="60E01402">
      <w:pPr>
        <w:pStyle w:val="ListParagraph"/>
        <w:numPr>
          <w:ilvl w:val="0"/>
          <w:numId w:val="6"/>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ES"/>
        </w:rPr>
        <w:t>Bowlby, J. “El apego” Ed. Paidos</w:t>
      </w:r>
    </w:p>
    <w:p w:rsidR="6F5D3897" w:rsidP="6F5D3897" w:rsidRDefault="6F5D3897" w14:paraId="410D50BB" w14:textId="475BBA47">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ES"/>
        </w:rPr>
        <w:t>Bibliografía sugerida:</w:t>
      </w:r>
    </w:p>
    <w:p w:rsidR="6F5D3897" w:rsidP="6F5D3897" w:rsidRDefault="6F5D3897" w14:paraId="45FF1605" w14:textId="39DF7F9E">
      <w:pPr>
        <w:pStyle w:val="ListParagraph"/>
        <w:numPr>
          <w:ilvl w:val="0"/>
          <w:numId w:val="7"/>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ES"/>
        </w:rPr>
        <w:t>Levin E. “La infancia en escena. Constitución del sujeto y desarrollo psicomotriz”. Ed. Nueva Visión (1995) Bs. As</w:t>
      </w:r>
    </w:p>
    <w:p w:rsidR="6F5D3897" w:rsidP="6F5D3897" w:rsidRDefault="6F5D3897" w14:paraId="1CDEA09E" w14:textId="2A719974">
      <w:pPr>
        <w:pStyle w:val="ListParagraph"/>
        <w:numPr>
          <w:ilvl w:val="0"/>
          <w:numId w:val="7"/>
        </w:numPr>
        <w:spacing w:after="200" w:line="276"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ES"/>
        </w:rPr>
      </w:pPr>
      <w:r w:rsidRPr="6F5D3897" w:rsidR="6F5D3897">
        <w:rPr>
          <w:rFonts w:ascii="Calibri" w:hAnsi="Calibri" w:eastAsia="Calibri" w:cs="Calibri"/>
          <w:b w:val="0"/>
          <w:bCs w:val="0"/>
          <w:i w:val="0"/>
          <w:iCs w:val="0"/>
          <w:noProof w:val="0"/>
          <w:color w:val="000000" w:themeColor="text1" w:themeTint="FF" w:themeShade="FF"/>
          <w:sz w:val="24"/>
          <w:szCs w:val="24"/>
          <w:lang w:val="es-ES"/>
        </w:rPr>
        <w:t>Winicot, “Realidad y Juego”. Edit. Gedisa. Barcelona. (1971)</w:t>
      </w:r>
    </w:p>
    <w:p w:rsidR="6F5D3897" w:rsidP="6F5D3897" w:rsidRDefault="6F5D3897" w14:paraId="154DBFB8" w14:textId="6CAA3944">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5B0E99EA" w:rsidRDefault="6F5D3897" w14:paraId="009184AF" w14:textId="770AEBC5">
      <w:pPr>
        <w:spacing w:after="200" w:line="276" w:lineRule="auto"/>
        <w:rPr>
          <w:rFonts w:ascii="Calibri" w:hAnsi="Calibri" w:eastAsia="Calibri" w:cs="Calibri"/>
          <w:b w:val="0"/>
          <w:bCs w:val="0"/>
          <w:i w:val="0"/>
          <w:iCs w:val="0"/>
          <w:strike w:val="0"/>
          <w:dstrike w:val="0"/>
          <w:noProof w:val="0"/>
          <w:color w:val="000000" w:themeColor="text1" w:themeTint="FF" w:themeShade="FF"/>
          <w:sz w:val="24"/>
          <w:szCs w:val="24"/>
          <w:u w:val="single"/>
          <w:lang w:val="es-ES"/>
        </w:rPr>
      </w:pPr>
    </w:p>
    <w:p w:rsidR="6F5D3897" w:rsidP="6F5D3897" w:rsidRDefault="6F5D3897" w14:paraId="4F7D681D" w14:textId="15D715C9">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r w:rsidRPr="5B0E99EA" w:rsidR="5B0E99EA">
        <w:rPr>
          <w:rFonts w:ascii="Calibri" w:hAnsi="Calibri" w:eastAsia="Calibri" w:cs="Calibri"/>
          <w:b w:val="0"/>
          <w:bCs w:val="0"/>
          <w:i w:val="0"/>
          <w:iCs w:val="0"/>
          <w:noProof w:val="0"/>
          <w:color w:val="000000" w:themeColor="text1" w:themeTint="FF" w:themeShade="FF"/>
          <w:sz w:val="24"/>
          <w:szCs w:val="24"/>
          <w:lang w:val="es-ES"/>
        </w:rPr>
        <w:t xml:space="preserve"> </w:t>
      </w:r>
    </w:p>
    <w:p w:rsidR="6F5D3897" w:rsidP="6F5D3897" w:rsidRDefault="6F5D3897" w14:paraId="7342543C" w14:textId="4D91FBE6">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3BFC307A" w14:textId="061D8784">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2EB7015A" w14:textId="256B8DCC">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0D7B90F7" w14:textId="5BB0B38F">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3E164EC9" w14:textId="595F7C25">
      <w:pPr>
        <w:spacing w:after="200" w:line="276" w:lineRule="auto"/>
        <w:rPr>
          <w:rFonts w:ascii="Calibri" w:hAnsi="Calibri" w:eastAsia="Calibri" w:cs="Calibri"/>
          <w:b w:val="0"/>
          <w:bCs w:val="0"/>
          <w:i w:val="0"/>
          <w:iCs w:val="0"/>
          <w:noProof w:val="0"/>
          <w:color w:val="000000" w:themeColor="text1" w:themeTint="FF" w:themeShade="FF"/>
          <w:sz w:val="24"/>
          <w:szCs w:val="24"/>
          <w:lang w:val="es-ES"/>
        </w:rPr>
      </w:pPr>
    </w:p>
    <w:p w:rsidR="6F5D3897" w:rsidP="6F5D3897" w:rsidRDefault="6F5D3897" w14:paraId="202C83DE" w14:textId="194A6FC4">
      <w:pPr>
        <w:pStyle w:val="Normal"/>
        <w:rPr>
          <w:rFonts w:ascii="Arial Black" w:hAnsi="Arial Black" w:eastAsia="Arial Black" w:cs="Arial Black"/>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wy6Zf8FwcSM2DV" id="bUESyKvz"/>
    <int:WordHash hashCode="OS14cZRK+fio2u" id="77j2YBPK"/>
    <int:WordHash hashCode="zqnM+k8WF+RRsc" id="1aKvVl7B"/>
    <int:WordHash hashCode="ETzKO6eKCPvj0q" id="pgNRQUPo"/>
    <int:WordHash hashCode="RDkZi6urvcLOxM" id="I+2SzYcF"/>
    <int:WordHash hashCode="f0bwTVRABGjAic" id="HQhk8jj1"/>
    <int:WordHash hashCode="y3guylhh/qWDm8" id="FhKKG6HU"/>
    <int:WordHash hashCode="SKi3EXr4rib+QK" id="6HAUDHfH"/>
    <int:WordHash hashCode="YFijc+oUH7afq2" id="a4Nouja3"/>
    <int:WordHash hashCode="8FY/fZ5YSp6P64" id="UnctuUx4"/>
    <int:WordHash hashCode="U3PwRg3S0KnxXJ" id="uUtGFsOG"/>
    <int:WordHash hashCode="HfQ5LLs1pkN9PC" id="1vyoeVpw"/>
  </int:Manifest>
  <int:Observations>
    <int:Content id="bUESyKvz">
      <int:Rejection type="LegacyProofing"/>
    </int:Content>
    <int:Content id="77j2YBPK">
      <int:Rejection type="LegacyProofing"/>
    </int:Content>
    <int:Content id="1aKvVl7B">
      <int:Rejection type="LegacyProofing"/>
    </int:Content>
    <int:Content id="pgNRQUPo">
      <int:Rejection type="LegacyProofing"/>
    </int:Content>
    <int:Content id="I+2SzYcF">
      <int:Rejection type="LegacyProofing"/>
    </int:Content>
    <int:Content id="HQhk8jj1">
      <int:Rejection type="LegacyProofing"/>
    </int:Content>
    <int:Content id="FhKKG6HU">
      <int:Rejection type="LegacyProofing"/>
    </int:Content>
    <int:Content id="6HAUDHfH">
      <int:Rejection type="LegacyProofing"/>
    </int:Content>
    <int:Content id="a4Nouja3">
      <int:Rejection type="LegacyProofing"/>
    </int:Content>
    <int:Content id="UnctuUx4">
      <int:Rejection type="LegacyProofing"/>
    </int:Content>
    <int:Content id="uUtGFsOG">
      <int:Rejection type="LegacyProofing"/>
    </int:Content>
    <int:Content id="1vyoeVpw">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02D1DE"/>
    <w:rsid w:val="07F42052"/>
    <w:rsid w:val="3502D1DE"/>
    <w:rsid w:val="5B0E99EA"/>
    <w:rsid w:val="6F5D3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D1DE"/>
  <w15:chartTrackingRefBased/>
  <w15:docId w15:val="{8649bdaa-2a13-44be-ac3b-85d692361f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1fcac0111904f52" /><Relationship Type="http://schemas.microsoft.com/office/2019/09/relationships/intelligence" Target="/word/intelligence.xml" Id="Rc6498fb1ca2e48c9" /><Relationship Type="http://schemas.openxmlformats.org/officeDocument/2006/relationships/image" Target="/media/image3.png" Id="R70cdb3df9c464e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2021-04-29T10:06:50.3484960Z</dcterms:created>
  <dcterms:modified xsi:type="dcterms:W3CDTF">2021-04-30T21:07:09.4761165Z</dcterms:modified>
  <dc:creator>Elisabet Esposito</dc:creator>
  <lastModifiedBy>Elisabet Esposito</lastModifiedBy>
</coreProperties>
</file>